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360" w:lineRule="auto"/>
        <w:rPr/>
      </w:pPr>
      <w:r w:rsidDel="00000000" w:rsidR="00000000" w:rsidRPr="00000000">
        <w:rPr>
          <w:rtl w:val="0"/>
        </w:rPr>
      </w:r>
    </w:p>
    <w:p w:rsidR="00000000" w:rsidDel="00000000" w:rsidP="00000000" w:rsidRDefault="00000000" w:rsidRPr="00000000" w14:paraId="00000002">
      <w:pPr>
        <w:spacing w:after="240" w:before="240" w:line="360" w:lineRule="auto"/>
        <w:rPr/>
      </w:pPr>
      <w:r w:rsidDel="00000000" w:rsidR="00000000" w:rsidRPr="00000000">
        <w:rPr>
          <w:rtl w:val="0"/>
        </w:rPr>
        <w:t xml:space="preserve">My teaching philosophy is grounded in the belief that cinema and animation are not only artistic and technological practices but also cultural, historical, and political artifacts that shape, and are shaped by, global communities. Across my courses, I cultivate an environment where students learn to analyze moving images critically and appreciate the complex creative labor that underpins animation and cinema. I strive to teach film studies as both a humanities discipline and a creative-critical practice that helps students understand how media functions as form and ideology.</w:t>
      </w:r>
      <w:r w:rsidDel="00000000" w:rsidR="00000000" w:rsidRPr="00000000">
        <w:rPr>
          <w:b w:val="1"/>
          <w:bCs w:val="1"/>
          <w:sz w:val="26"/>
          <w:szCs w:val="26"/>
          <w:rtl w:val="0"/>
        </w:rPr>
        <w:t xml:space="preserve"> </w:t>
      </w:r>
      <w:r w:rsidDel="00000000" w:rsidR="00000000" w:rsidRPr="00000000">
        <w:rPr>
          <w:rtl w:val="0"/>
        </w:rPr>
        <w:t xml:space="preserve">In my curriculum, I combine close reading, historical contextualization, and aesthetic analysis. Whether I am teaching History of Animation and Comic Books or Storyboarding, I guide students to understand how mise-en-scène, editing, sound, and performance structures meaning and shapes audience experience. My learning outcomes focus on critical thinking and the ability to interpret media within artistic and historical frameworks. Structured lectures, guided screenings, master studies and collaborative critiques directly support the acquisition of knowledge and analysis of material.</w:t>
      </w:r>
    </w:p>
    <w:p w:rsidR="00000000" w:rsidDel="00000000" w:rsidP="00000000" w:rsidRDefault="00000000" w:rsidRPr="00000000" w14:paraId="00000003">
      <w:pPr>
        <w:spacing w:after="200" w:line="360" w:lineRule="auto"/>
        <w:rPr/>
      </w:pPr>
      <w:r w:rsidDel="00000000" w:rsidR="00000000" w:rsidRPr="00000000">
        <w:rPr>
          <w:rtl w:val="0"/>
        </w:rPr>
        <w:t xml:space="preserve">In the introduction to </w:t>
      </w:r>
      <w:r w:rsidDel="00000000" w:rsidR="00000000" w:rsidRPr="00000000">
        <w:rPr>
          <w:i w:val="1"/>
          <w:iCs w:val="1"/>
          <w:rtl w:val="0"/>
        </w:rPr>
        <w:t xml:space="preserve">Small Teaching Everyday Lessons from the Science of Learning</w:t>
      </w:r>
      <w:r w:rsidDel="00000000" w:rsidR="00000000" w:rsidRPr="00000000">
        <w:rPr>
          <w:rtl w:val="0"/>
        </w:rPr>
        <w:t xml:space="preserve"> (2016), James Lang states that educators following Bloom’s taxonomy of educational objectives will overvalue synthesis and evaluation while undervaluing knowledge. As a new college instructor, I was over eager to skip to what I believed to be higher orders of reason, hoping that students already possessed the tools to master knowledge and study well. Yes, students have the capacity to look up nearly anything at any given time, but not even Chat GPT can impart context or nuance. These elements are critical for synthesis: I know that if I ask a student about </w:t>
      </w:r>
      <w:r w:rsidDel="00000000" w:rsidR="00000000" w:rsidRPr="00000000">
        <w:rPr>
          <w:i w:val="1"/>
          <w:iCs w:val="1"/>
          <w:rtl w:val="0"/>
        </w:rPr>
        <w:t xml:space="preserve">Citizen Kane</w:t>
      </w:r>
      <w:r w:rsidDel="00000000" w:rsidR="00000000" w:rsidRPr="00000000">
        <w:rPr>
          <w:rtl w:val="0"/>
        </w:rPr>
        <w:t xml:space="preserve"> (1941), the one who studied Classic Hollywood Cinema will be able to analyze the film better than the one researching medieval Iberian artifacts. Therefore, it is vital to scaffold the course's activities with discussions and opportunities to review older material. Incorporating short supplemental exercises has had a notable impact on fact retention and gave me more opportunities to address misconceptions.</w:t>
      </w:r>
    </w:p>
    <w:p w:rsidR="00000000" w:rsidDel="00000000" w:rsidP="00000000" w:rsidRDefault="00000000" w:rsidRPr="00000000" w14:paraId="00000004">
      <w:pPr>
        <w:spacing w:after="200" w:line="360" w:lineRule="auto"/>
        <w:rPr/>
      </w:pPr>
      <w:r w:rsidDel="00000000" w:rsidR="00000000" w:rsidRPr="00000000">
        <w:rPr>
          <w:rtl w:val="0"/>
        </w:rPr>
        <w:t xml:space="preserve">Providing room for failure is intrinsic for experimentation and creativity; my revision policies in small classes permit some margin for error. For example, low-impact mini-quizzes keep them honest about their reading, while dropping a few of the lowest scoring ones from the final grade permits them to miss a few. For research papers, I scaffold them into multiple stages, like an abstract, annotated bibliography, and rough draft. This gives me ample time to provide feedback while allowing them to make mistakes with minimal impact on their final paper. My deadlines are relatively flexible if students submit what they have and maintain a professional level of communication, allowing them to submit material they feel is improved after the official deadline has elapsed. This encourages them to meet deadlines even if they haven’t completed all their goals, allowing them to take risks without immediate repercussions. Creative projects are always preceded by the creation of a prototype or mockup, to allow room for self-testing and a safe space to learn from failure. In addition to the prototype, they write a short reflection, in which they elaborate on their topic and describe their process. These reflections allow students to anticipate potential problems for the final and receive feedback from peers. Using a sequence of stepwise practices also prevents students from treating their work as if work is an all-or-nothing race to the finish. </w:t>
      </w:r>
    </w:p>
    <w:p w:rsidR="00000000" w:rsidDel="00000000" w:rsidP="00000000" w:rsidRDefault="00000000" w:rsidRPr="00000000" w14:paraId="00000005">
      <w:pPr>
        <w:spacing w:after="200" w:line="360" w:lineRule="auto"/>
        <w:rPr/>
      </w:pPr>
      <w:r w:rsidDel="00000000" w:rsidR="00000000" w:rsidRPr="00000000">
        <w:rPr>
          <w:rtl w:val="0"/>
        </w:rPr>
        <w:t xml:space="preserve">Even in classes with primarily written assignments, I maintain a willingness to incorporate elements of production to balance students’ areas of interest with the educational goals of the course. The final project for my Senior Seminar on experimental animation coincided with the COVID-19 pandemic. My students expressed the desire to work on something topical, so I encouraged the creation of films and papers responding to this phenomenon. One entry constituted a "City Symphony," a film, which played with urban scenery, depicting an Atlanta with empty streets in long, eerie shots. Another crafted a textural poem depicting fabric and flames, suggesting suffocating heat at a time when few could leave their homes. Encouraging scholarship across a variety of modalities, I accept assignments in a range of formats to encourage creative autonomy and critical engagement with the production process. </w:t>
      </w:r>
    </w:p>
    <w:p w:rsidR="00000000" w:rsidDel="00000000" w:rsidP="00000000" w:rsidRDefault="00000000" w:rsidRPr="00000000" w14:paraId="00000006">
      <w:pPr>
        <w:spacing w:after="200" w:line="360" w:lineRule="auto"/>
        <w:rPr/>
      </w:pPr>
      <w:r w:rsidDel="00000000" w:rsidR="00000000" w:rsidRPr="00000000">
        <w:rPr>
          <w:rtl w:val="0"/>
        </w:rPr>
        <w:t xml:space="preserve">I consider my role as an educator to be an ongoing project, one that requires continuous evaluation of the course’s outcomes. I invite feedback throughout the course and update my syllabus every semester. I also understand it is my job to introduce students to new fields, to explore novel works of art, and to present texts that challenge them. This is particularly important when these encounters lead to discussions on power and discrimination, which often remain unexplored, as many play it safe by remaining within the well-defined boundaries of their social identity. Playing with the margins of outsider art and dominant industry standards, I blend pedagogical strategy with creative flexibility. It is my goal to challenge and surprise creative scholars and practitioners, introducing friction on the smooth planes of the contextless and commonsensical.</w:t>
      </w:r>
    </w:p>
    <w:p w:rsidR="00000000" w:rsidDel="00000000" w:rsidP="00000000" w:rsidRDefault="00000000" w:rsidRPr="00000000" w14:paraId="00000007">
      <w:pPr>
        <w:spacing w:line="360" w:lineRule="auto"/>
        <w:rPr/>
      </w:pPr>
      <w:r w:rsidDel="00000000" w:rsidR="00000000" w:rsidRPr="00000000">
        <w:rPr>
          <w:rtl w:val="0"/>
        </w:rPr>
        <w:t xml:space="preserve">Ultimately, my teaching philosophy centers on cultivating learners who are confident in their critical and creative capacities. Film and animation studies thrive when students feel empowered to take intellectual risks, confront unfamiliar material, and situate media within broader cultural and historical contexts. By integrating structured scaffolding with creative flexibility, I aim to meet students where they are while guiding them toward deeper mastery. My continual refinement of assignments, classroom strategies, and course design reflects an understanding that effective teaching is a dynamic practice, one that evolves in response to student needs, disciplinary developments, and an ever-changing media landscape. I am committed to fostering classrooms where experimentation is valued and students learn to navigate the intersections of form and ideology with rigor, curiosity, and imagination.</w:t>
      </w:r>
    </w:p>
    <w:sectPr>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pStyle w:val="Heading2"/>
      <w:spacing w:after="80" w:lineRule="auto"/>
      <w:ind w:left="2880" w:firstLine="0"/>
      <w:rPr/>
    </w:pPr>
    <w:bookmarkStart w:colFirst="0" w:colLast="0" w:name="_heading=h.5vi2drsahkru" w:id="0"/>
    <w:bookmarkEnd w:id="0"/>
    <w:r w:rsidDel="00000000" w:rsidR="00000000" w:rsidRPr="00000000">
      <w:rPr>
        <w:rFonts w:ascii="Comfortaa" w:cs="Comfortaa" w:eastAsia="Comfortaa" w:hAnsi="Comfortaa"/>
        <w:b w:val="1"/>
        <w:bCs w:val="1"/>
        <w:color w:val="4dc1b7"/>
        <w:sz w:val="52"/>
        <w:szCs w:val="52"/>
        <w:rtl w:val="0"/>
      </w:rPr>
      <w:t xml:space="preserve">Colin S. Wheeler, Ph.D.</w:t>
      <w:br w:type="textWrapping"/>
    </w:r>
    <w:r w:rsidDel="00000000" w:rsidR="00000000" w:rsidRPr="00000000">
      <w:rPr>
        <w:rFonts w:ascii="Comfortaa" w:cs="Comfortaa" w:eastAsia="Comfortaa" w:hAnsi="Comfortaa"/>
        <w:b w:val="1"/>
        <w:bCs w:val="1"/>
        <w:color w:val="124ca1"/>
        <w:sz w:val="36"/>
        <w:szCs w:val="36"/>
        <w:rtl w:val="0"/>
      </w:rPr>
      <w:t xml:space="preserve">Film, Media, &amp; Theater</w:t>
      <w:br w:type="textWrapping"/>
    </w:r>
    <w:r w:rsidDel="00000000" w:rsidR="00000000" w:rsidRPr="00000000">
      <w:rPr>
        <w:rFonts w:ascii="Comfortaa" w:cs="Comfortaa" w:eastAsia="Comfortaa" w:hAnsi="Comfortaa"/>
        <w:i w:val="1"/>
        <w:iCs w:val="1"/>
        <w:color w:val="124ca1"/>
        <w:sz w:val="36"/>
        <w:szCs w:val="36"/>
        <w:rtl w:val="0"/>
      </w:rPr>
      <w:t xml:space="preserve">Teaching Statement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-198915</wp:posOffset>
          </wp:positionV>
          <wp:extent cx="1176338" cy="1415281"/>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6338" cy="141528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6062A8"/>
    <w:pPr>
      <w:tabs>
        <w:tab w:val="center" w:pos="4680"/>
        <w:tab w:val="right" w:pos="9360"/>
      </w:tabs>
      <w:spacing w:line="240" w:lineRule="auto"/>
    </w:pPr>
  </w:style>
  <w:style w:type="character" w:styleId="HeaderChar" w:customStyle="1">
    <w:name w:val="Header Char"/>
    <w:basedOn w:val="DefaultParagraphFont"/>
    <w:link w:val="Header"/>
    <w:uiPriority w:val="99"/>
    <w:rsid w:val="006062A8"/>
  </w:style>
  <w:style w:type="paragraph" w:styleId="Footer">
    <w:name w:val="footer"/>
    <w:basedOn w:val="Normal"/>
    <w:link w:val="FooterChar"/>
    <w:uiPriority w:val="99"/>
    <w:unhideWhenUsed w:val="1"/>
    <w:rsid w:val="006062A8"/>
    <w:pPr>
      <w:tabs>
        <w:tab w:val="center" w:pos="4680"/>
        <w:tab w:val="right" w:pos="9360"/>
      </w:tabs>
      <w:spacing w:line="240" w:lineRule="auto"/>
    </w:pPr>
  </w:style>
  <w:style w:type="character" w:styleId="FooterChar" w:customStyle="1">
    <w:name w:val="Footer Char"/>
    <w:basedOn w:val="DefaultParagraphFont"/>
    <w:link w:val="Footer"/>
    <w:uiPriority w:val="99"/>
    <w:rsid w:val="006062A8"/>
  </w:style>
  <w:style w:type="paragraph" w:styleId="Revision">
    <w:name w:val="Revision"/>
    <w:hidden w:val="1"/>
    <w:uiPriority w:val="99"/>
    <w:semiHidden w:val="1"/>
    <w:rsid w:val="006062A8"/>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rdpqAA7HPW9yKsLHoBiEZHbw==">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2025-11-25T21:14:00Z</dcterms:created>
  <dc:creator>Owner</dc:creator>
</cp:coreProperties>
</file>