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20" w:line="240" w:lineRule="auto"/>
        <w:rPr/>
      </w:pPr>
      <w:r w:rsidDel="00000000" w:rsidR="00000000" w:rsidRPr="00000000">
        <w:rPr>
          <w:rtl w:val="0"/>
        </w:rPr>
      </w:r>
    </w:p>
    <w:p w:rsidR="00000000" w:rsidDel="00000000" w:rsidP="00000000" w:rsidRDefault="00000000" w:rsidRPr="00000000" w14:paraId="00000002">
      <w:pPr>
        <w:spacing w:after="120" w:line="240" w:lineRule="auto"/>
        <w:rPr/>
      </w:pPr>
      <w:r w:rsidDel="00000000" w:rsidR="00000000" w:rsidRPr="00000000">
        <w:rPr>
          <w:rtl w:val="0"/>
        </w:rPr>
        <w:t xml:space="preserve">My approach to DEI emphasizes representation, mentorship, and the cultivation of classroom environments where students feel empowered to share their perspectives. As a scholar of global animation and media industries, and as an educator who has taught across large public universities with highly diverse student populations, I believe that inclusive pedagogy is intrinsic to the ethical study of film and media. This involves myriad participation pathways to cater to a wide array of students, ranging from discussions and written reflections to creative projects and one-on-one check-ins. This ensures students with different communication styles or cultural backgrounds can fully participate. For every class I have taught, I have challenged myself to innovate the curriculum to ensure students from myriad backgrounds receive the support they need for academic success.</w:t>
      </w:r>
    </w:p>
    <w:p w:rsidR="00000000" w:rsidDel="00000000" w:rsidP="00000000" w:rsidRDefault="00000000" w:rsidRPr="00000000" w14:paraId="00000003">
      <w:pPr>
        <w:spacing w:after="120" w:before="240" w:line="240" w:lineRule="auto"/>
        <w:rPr/>
      </w:pPr>
      <w:r w:rsidDel="00000000" w:rsidR="00000000" w:rsidRPr="00000000">
        <w:rPr>
          <w:rtl w:val="0"/>
        </w:rPr>
        <w:t xml:space="preserve">The first course I taught on the college level was New Student Orientation, a course for incoming freshmen in need of supplemental material to prepare them for the college experience. While some teenagers hailed from the heart of Atlanta, others came from Georgia’s rural perimeter, and nearly all were the first in their family to pursue a higher education. Their experiences contrasted my own; while I had grown up in an excellent school district that challenged me to develop a voice, their education emphasized discipline and passivity. Recognizing their different experiences caused me to reexamine my syllabus, shifting from a curriculum centered on lessons like time-management, to giving space for discussions on where they wanted to go and who they wanted to become. It became clear pedagogy and equity are closely related, rather than emphasizing strictly professional criteria, I understood it was also necessary to give them space to fail and opportunities to reignite their curiosity.</w:t>
      </w:r>
    </w:p>
    <w:p w:rsidR="00000000" w:rsidDel="00000000" w:rsidP="00000000" w:rsidRDefault="00000000" w:rsidRPr="00000000" w14:paraId="00000004">
      <w:pPr>
        <w:spacing w:after="120" w:before="240" w:line="240" w:lineRule="auto"/>
        <w:rPr/>
      </w:pPr>
      <w:r w:rsidDel="00000000" w:rsidR="00000000" w:rsidRPr="00000000">
        <w:rPr>
          <w:rtl w:val="0"/>
        </w:rPr>
        <w:t xml:space="preserve">My theories on inclusive classrooms were further tested when I started working at the Alonzo A. Crim Urban Center’s “Careers in New Emerging Media Areas,” or CINEMA program to mentor </w:t>
      </w:r>
      <w:r w:rsidDel="00000000" w:rsidR="00000000" w:rsidRPr="00000000">
        <w:rPr>
          <w:rtl w:val="0"/>
        </w:rPr>
        <w:t xml:space="preserve">students </w:t>
      </w:r>
      <w:r w:rsidDel="00000000" w:rsidR="00000000" w:rsidRPr="00000000">
        <w:rPr>
          <w:rtl w:val="0"/>
        </w:rPr>
        <w:t xml:space="preserve">aged 18-24, providing skills related to new media and professional development. Again, I had to balance the program’s emphasis on highly transferable "life skills" with assignments that sparked creativity and passion, helping students discover and express their authentic selves while working on branding material for self-promotion. </w:t>
      </w:r>
      <w:r w:rsidDel="00000000" w:rsidR="00000000" w:rsidRPr="00000000">
        <w:rPr>
          <w:rtl w:val="0"/>
        </w:rPr>
        <w:t xml:space="preserve">I also created opportunities to discuss how online profiles articulate the job hunting process and the perils of social media. This helped students better understand the double-sided nature of these platforms. A major part of diversity and equity in the classroom requires the exploration of systemic issues that affect varying populations in different ways.</w:t>
      </w:r>
      <w:r w:rsidDel="00000000" w:rsidR="00000000" w:rsidRPr="00000000">
        <w:rPr>
          <w:rtl w:val="0"/>
        </w:rPr>
      </w:r>
    </w:p>
    <w:p w:rsidR="00000000" w:rsidDel="00000000" w:rsidP="00000000" w:rsidRDefault="00000000" w:rsidRPr="00000000" w14:paraId="00000005">
      <w:pPr>
        <w:spacing w:after="120" w:before="240" w:line="240" w:lineRule="auto"/>
        <w:rPr/>
      </w:pPr>
      <w:r w:rsidDel="00000000" w:rsidR="00000000" w:rsidRPr="00000000">
        <w:rPr>
          <w:rtl w:val="0"/>
        </w:rPr>
        <w:t xml:space="preserve">Once I began teaching history classes on film and animation, I focused on bringing diverse views and perspectives into the curriculum. It was important to me that Black, queer, and intersectional creators were not divided into separate sections but were instead presented alongside the traditional canon, to illustrate how they make up the fabric of the industry. For animation, this proved especially challenging during the first third of the semester, which spans from the 1890’s to the 1940’s. Rather than merely acknowledging the dearth of Black animators, for example, I focused on performers like Cab Calloway and Hattie Noel, whose acting became intrinsic parts of Fleischer and Disney animation, respectively. Likewise, I scrutinize the queer coding of characters that survived Hollywood’s enforcement of censorship, which established the conventions queer creators would later adopt and adapt into camp. Rather than following the establishment of a canon over a period of time, I challenge the centrality of white/straight authorship with texts interwoven with queer and Black culture, while exploring outsider artists and lesser-known creators. Analyzing media in this way requires acknowledging the role of white supremacy, the patriarchy, and capitalism in the production process. A critical exploration of the industry exposes naturalized narratives as mere cultural constructs. Delving into textual and rhetorical strategies, we engage with the ways cultural narratives naturalize enduring categories for humans, and how this is affected by socio-cultural structures of the period. </w:t>
      </w:r>
    </w:p>
    <w:p w:rsidR="00000000" w:rsidDel="00000000" w:rsidP="00000000" w:rsidRDefault="00000000" w:rsidRPr="00000000" w14:paraId="00000006">
      <w:pPr>
        <w:spacing w:after="120" w:line="240" w:lineRule="auto"/>
        <w:rPr/>
      </w:pPr>
      <w:r w:rsidDel="00000000" w:rsidR="00000000" w:rsidRPr="00000000">
        <w:rPr>
          <w:rtl w:val="0"/>
        </w:rPr>
        <w:t xml:space="preserve">For example, in my Senior Seminar on comic book to film adaptations, I explored </w:t>
      </w:r>
      <w:r w:rsidDel="00000000" w:rsidR="00000000" w:rsidRPr="00000000">
        <w:rPr>
          <w:i w:val="1"/>
          <w:iCs w:val="1"/>
          <w:rtl w:val="0"/>
        </w:rPr>
        <w:t xml:space="preserve">Black Panther</w:t>
      </w:r>
      <w:r w:rsidDel="00000000" w:rsidR="00000000" w:rsidRPr="00000000">
        <w:rPr>
          <w:rtl w:val="0"/>
        </w:rPr>
        <w:t xml:space="preserve"> (2018), because of the strong positive reception it received in Atlanta, garnering overwhelming enthusiasm from my students who felt passionate about the Marvel Cinematic Universe’s newest entry. Decoding the film by exploring the ways creators encode meaning, we navigated dominant, negotiated, and oppositional readings. We contrasted the dominant interpretation that the film depicts a utopia free of white supremacy with negotiated readings that questioned why patriarchal and capitalist structures remained intact in the fictional Wakanda. Creating spaces for students of diverse identities to express their perspectives enables them to understand how one can be both a fan and a critic, dissecting their favorite film with textual evidence. </w:t>
      </w:r>
    </w:p>
    <w:p w:rsidR="00000000" w:rsidDel="00000000" w:rsidP="00000000" w:rsidRDefault="00000000" w:rsidRPr="00000000" w14:paraId="00000007">
      <w:pPr>
        <w:spacing w:after="120" w:before="240" w:line="240" w:lineRule="auto"/>
        <w:rPr/>
      </w:pPr>
      <w:r w:rsidDel="00000000" w:rsidR="00000000" w:rsidRPr="00000000">
        <w:rPr>
          <w:rtl w:val="0"/>
        </w:rPr>
        <w:t xml:space="preserve">Mentorship is one of the most significant ways I support diversity and equity. I have worked closely with students presenting at the Popular Culture Association, including students from historically underrepresented groups who had never attended a national conference before. One such student presented “Visualizing Blackness: The Rise of Self-Representational African American Animation,” which discussed how Black animators were influenced by contemporary illustrators of color. This caught the attention of the University Press of Mississippi, which expressed interest in publishing an article on the topic. It is opportunities like these that demonstrate to students that myriad academic opportunities await them if they abandon stodgy academic expectations and instead research the material about which they are passionate. For this reason, it is my greatest honor to guide them through proposal writing, revision, and professional presentation skills.</w:t>
      </w:r>
    </w:p>
    <w:p w:rsidR="00000000" w:rsidDel="00000000" w:rsidP="00000000" w:rsidRDefault="00000000" w:rsidRPr="00000000" w14:paraId="00000008">
      <w:pPr>
        <w:spacing w:after="120" w:line="240" w:lineRule="auto"/>
        <w:rPr/>
      </w:pPr>
      <w:r w:rsidDel="00000000" w:rsidR="00000000" w:rsidRPr="00000000">
        <w:rPr>
          <w:rtl w:val="0"/>
        </w:rPr>
        <w:t xml:space="preserve">Across my teaching, mentorship, and research, I view diversity, equity, and inclusion not as supplemental commitments but as essential components of film and media education. My experiences, from working with first-generation college students to mentoring young designers navigating systemic inequities, have shown me that equitable pedagogy requires flexibility, cultural humility, and a willingness to rethink entrenched narratives. Inclusive teaching is an ongoing process of reflection and refinement, one that demands attention to who is centered, who is marginalized, and how students’ lived experiences can reshape the classroom for the better. In every course I teach, I strive to create a space where students feel empowered to question dominant histories, recognize the structural forces shaping representation, and articulate their own critical and creative voices. I am committed to continuing this work by listening deeply to my students, expanding representation within my curriculum, and fostering learning environments where difference is not simply acknowledged but embraced as a source of intellectual and artistic strength.</w:t>
      </w:r>
    </w:p>
    <w:sectPr>
      <w:headerReference r:id="rId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pStyle w:val="Heading2"/>
      <w:spacing w:after="80" w:lineRule="auto"/>
      <w:ind w:left="2880" w:firstLine="0"/>
      <w:rPr/>
    </w:pPr>
    <w:bookmarkStart w:colFirst="0" w:colLast="0" w:name="_heading=h.vnd6pjgiwslu" w:id="0"/>
    <w:bookmarkEnd w:id="0"/>
    <w:r w:rsidDel="00000000" w:rsidR="00000000" w:rsidRPr="00000000">
      <w:rPr>
        <w:rFonts w:ascii="Comfortaa" w:cs="Comfortaa" w:eastAsia="Comfortaa" w:hAnsi="Comfortaa"/>
        <w:b w:val="1"/>
        <w:bCs w:val="1"/>
        <w:color w:val="4dc1b7"/>
        <w:sz w:val="52"/>
        <w:szCs w:val="52"/>
        <w:rtl w:val="0"/>
      </w:rPr>
      <w:t xml:space="preserve">Colin S. Wheeler, Ph.D.</w:t>
      <w:br w:type="textWrapping"/>
    </w:r>
    <w:r w:rsidDel="00000000" w:rsidR="00000000" w:rsidRPr="00000000">
      <w:rPr>
        <w:rFonts w:ascii="Comfortaa" w:cs="Comfortaa" w:eastAsia="Comfortaa" w:hAnsi="Comfortaa"/>
        <w:b w:val="1"/>
        <w:bCs w:val="1"/>
        <w:color w:val="124ca1"/>
        <w:sz w:val="36"/>
        <w:szCs w:val="36"/>
        <w:rtl w:val="0"/>
      </w:rPr>
      <w:t xml:space="preserve">Film, Media, &amp; Theater</w:t>
      <w:br w:type="textWrapping"/>
    </w:r>
    <w:r w:rsidDel="00000000" w:rsidR="00000000" w:rsidRPr="00000000">
      <w:rPr>
        <w:rFonts w:ascii="Comfortaa" w:cs="Comfortaa" w:eastAsia="Comfortaa" w:hAnsi="Comfortaa"/>
        <w:i w:val="1"/>
        <w:iCs w:val="1"/>
        <w:color w:val="124ca1"/>
        <w:sz w:val="36"/>
        <w:szCs w:val="36"/>
        <w:rtl w:val="0"/>
      </w:rPr>
      <w:t xml:space="preserve">Diversity Statement</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1143000" cy="1390650"/>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000" cy="13906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D6440C"/>
    <w:pPr>
      <w:tabs>
        <w:tab w:val="center" w:pos="4680"/>
        <w:tab w:val="right" w:pos="9360"/>
      </w:tabs>
      <w:spacing w:line="240" w:lineRule="auto"/>
    </w:pPr>
  </w:style>
  <w:style w:type="character" w:styleId="HeaderChar" w:customStyle="1">
    <w:name w:val="Header Char"/>
    <w:basedOn w:val="DefaultParagraphFont"/>
    <w:link w:val="Header"/>
    <w:uiPriority w:val="99"/>
    <w:rsid w:val="00D6440C"/>
  </w:style>
  <w:style w:type="paragraph" w:styleId="Footer">
    <w:name w:val="footer"/>
    <w:basedOn w:val="Normal"/>
    <w:link w:val="FooterChar"/>
    <w:uiPriority w:val="99"/>
    <w:unhideWhenUsed w:val="1"/>
    <w:rsid w:val="00D6440C"/>
    <w:pPr>
      <w:tabs>
        <w:tab w:val="center" w:pos="4680"/>
        <w:tab w:val="right" w:pos="9360"/>
      </w:tabs>
      <w:spacing w:line="240" w:lineRule="auto"/>
    </w:pPr>
  </w:style>
  <w:style w:type="character" w:styleId="FooterChar" w:customStyle="1">
    <w:name w:val="Footer Char"/>
    <w:basedOn w:val="DefaultParagraphFont"/>
    <w:link w:val="Footer"/>
    <w:uiPriority w:val="99"/>
    <w:rsid w:val="00D6440C"/>
  </w:style>
  <w:style w:type="paragraph" w:styleId="Revision">
    <w:name w:val="Revision"/>
    <w:hidden w:val="1"/>
    <w:uiPriority w:val="99"/>
    <w:semiHidden w:val="1"/>
    <w:rsid w:val="00D6440C"/>
    <w:pPr>
      <w:spacing w:line="240" w:lineRule="auto"/>
    </w:pPr>
  </w:style>
  <w:style w:type="character" w:styleId="CommentReference">
    <w:name w:val="annotation reference"/>
    <w:basedOn w:val="DefaultParagraphFont"/>
    <w:uiPriority w:val="99"/>
    <w:semiHidden w:val="1"/>
    <w:unhideWhenUsed w:val="1"/>
    <w:rsid w:val="00646A9E"/>
    <w:rPr>
      <w:sz w:val="16"/>
      <w:szCs w:val="16"/>
    </w:rPr>
  </w:style>
  <w:style w:type="paragraph" w:styleId="CommentText">
    <w:name w:val="annotation text"/>
    <w:basedOn w:val="Normal"/>
    <w:link w:val="CommentTextChar"/>
    <w:uiPriority w:val="99"/>
    <w:semiHidden w:val="1"/>
    <w:unhideWhenUsed w:val="1"/>
    <w:rsid w:val="00646A9E"/>
    <w:pPr>
      <w:spacing w:line="240" w:lineRule="auto"/>
    </w:pPr>
    <w:rPr>
      <w:sz w:val="20"/>
      <w:szCs w:val="20"/>
    </w:rPr>
  </w:style>
  <w:style w:type="character" w:styleId="CommentTextChar" w:customStyle="1">
    <w:name w:val="Comment Text Char"/>
    <w:basedOn w:val="DefaultParagraphFont"/>
    <w:link w:val="CommentText"/>
    <w:uiPriority w:val="99"/>
    <w:semiHidden w:val="1"/>
    <w:rsid w:val="00646A9E"/>
    <w:rPr>
      <w:sz w:val="20"/>
      <w:szCs w:val="20"/>
    </w:rPr>
  </w:style>
  <w:style w:type="paragraph" w:styleId="CommentSubject">
    <w:name w:val="annotation subject"/>
    <w:basedOn w:val="CommentText"/>
    <w:next w:val="CommentText"/>
    <w:link w:val="CommentSubjectChar"/>
    <w:uiPriority w:val="99"/>
    <w:semiHidden w:val="1"/>
    <w:unhideWhenUsed w:val="1"/>
    <w:rsid w:val="00646A9E"/>
    <w:rPr>
      <w:b w:val="1"/>
      <w:bCs w:val="1"/>
    </w:rPr>
  </w:style>
  <w:style w:type="character" w:styleId="CommentSubjectChar" w:customStyle="1">
    <w:name w:val="Comment Subject Char"/>
    <w:basedOn w:val="CommentTextChar"/>
    <w:link w:val="CommentSubject"/>
    <w:uiPriority w:val="99"/>
    <w:semiHidden w:val="1"/>
    <w:rsid w:val="00646A9E"/>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fwsDb8nSQ+lbCwUfgewWb28/WQ==">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2025-11-28T20:41:00Z</dcterms:created>
  <dc:creator>Owner</dc:creator>
</cp:coreProperties>
</file>