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before="240" w:line="360" w:lineRule="auto"/>
        <w:rPr/>
      </w:pPr>
      <w:r w:rsidDel="00000000" w:rsidR="00000000" w:rsidRPr="00000000">
        <w:rPr>
          <w:rtl w:val="0"/>
        </w:rPr>
        <w:t xml:space="preserve">My research investigates animation as a transnational art form with particular attention to labor, authorship, performance, and representations of the human and nonhuman. I am especially interested in how animation’s recombinatory materiality, blending myriad techniques and subject matter, reveals deeper questions about identity, embodiment, and cultural production. Drawing from film and media studies, cultural studies, feminist theory, and anthropology, my work offers new frameworks for understanding animation as both a creative practice and a site of ideological negotiation.</w:t>
      </w:r>
    </w:p>
    <w:p w:rsidR="00000000" w:rsidDel="00000000" w:rsidP="00000000" w:rsidRDefault="00000000" w:rsidRPr="00000000" w14:paraId="00000002">
      <w:pPr>
        <w:spacing w:after="120" w:before="240" w:line="360" w:lineRule="auto"/>
        <w:rPr>
          <w:b w:val="1"/>
          <w:bCs w:val="1"/>
          <w:color w:val="000000"/>
          <w:sz w:val="26"/>
          <w:szCs w:val="26"/>
        </w:rPr>
      </w:pPr>
      <w:r w:rsidDel="00000000" w:rsidR="00000000" w:rsidRPr="00000000">
        <w:rPr>
          <w:rtl w:val="0"/>
        </w:rPr>
        <w:t xml:space="preserve">My doctoral dissertation, </w:t>
      </w:r>
      <w:r w:rsidDel="00000000" w:rsidR="00000000" w:rsidRPr="00000000">
        <w:rPr>
          <w:i w:val="1"/>
          <w:iCs w:val="1"/>
          <w:rtl w:val="0"/>
        </w:rPr>
        <w:t xml:space="preserve">Animators of Atlanta: Layering Authenticity in the Creative Industries</w:t>
      </w:r>
      <w:r w:rsidDel="00000000" w:rsidR="00000000" w:rsidRPr="00000000">
        <w:rPr>
          <w:rtl w:val="0"/>
        </w:rPr>
        <w:t xml:space="preserve">, laid the foundation for my research trajectory by examining how animators construct identity and professional legitimacy within contemporary digital production cultures. Through ethnographic fieldwork and industry analysis, I explored how concepts such as authenticity, professionalism, and creativity are mobilized as various forms of cultural capital. This project contributed to scholarship on media industries by revealing how workers negotiate precarious labor conditions while cultivating forms of social capital that shape career trajectories and creative value. This work informs my broader interest in animation as a field where technical skill, affective labor, cultural narratives, and digital infrastructures intersect. I continue to expand this approach across global contexts to examine how the labor of animators becomes visible, or deliberately obscured, within national industries, digital platforms, and international festivals.</w:t>
      </w:r>
      <w:r w:rsidDel="00000000" w:rsidR="00000000" w:rsidRPr="00000000">
        <w:rPr>
          <w:rtl w:val="0"/>
        </w:rPr>
      </w:r>
    </w:p>
    <w:p w:rsidR="00000000" w:rsidDel="00000000" w:rsidP="00000000" w:rsidRDefault="00000000" w:rsidRPr="00000000" w14:paraId="00000003">
      <w:pPr>
        <w:spacing w:after="120" w:before="240" w:line="360" w:lineRule="auto"/>
        <w:rPr/>
      </w:pPr>
      <w:r w:rsidDel="00000000" w:rsidR="00000000" w:rsidRPr="00000000">
        <w:rPr>
          <w:rtl w:val="0"/>
        </w:rPr>
        <w:t xml:space="preserve">Analyzing how animation circulates across national borders, I incorporate cultural narratives and production practices to trace media across studios, countries, and audiences. My forthcoming chapters on Studio Ghibli and Cartoon Saloon examine how national folklore, ecological storytelling, and hybrid mythologies create a transnational cinematic language that blends regional specificity with global appeal. These projects contribute to animation studies by offering models for understanding national cinemas within increasingly multinational production ecosystems. An emerging line of inquiry explores animation as a unique space for performing voice, identity, and selfhood. My contracted chapter on </w:t>
      </w:r>
      <w:r w:rsidDel="00000000" w:rsidR="00000000" w:rsidRPr="00000000">
        <w:rPr>
          <w:i w:val="1"/>
          <w:iCs w:val="1"/>
          <w:rtl w:val="0"/>
        </w:rPr>
        <w:t xml:space="preserve">K-Pop Demon Hunters</w:t>
      </w:r>
      <w:r w:rsidDel="00000000" w:rsidR="00000000" w:rsidRPr="00000000">
        <w:rPr>
          <w:rtl w:val="0"/>
        </w:rPr>
        <w:t xml:space="preserve"> delineates how the film departs from embodied animation traditional in Pixar and Disney films to incorporate figurative styles more associated with anime to discuss our contemporary neoliberal milieu. By examining hybrid character design, linguistic play, and global K-pop fandom, this work considers how animated bodies perform authenticity in ways that challenge traditional categories of nationality, gender, and celebrity. This research contributes to emerging conversations about performance in digital media, global pop culture, and cross-cultural authorship. Together, these research strands position animation as a fertile site for theorizing global media flows, transnational performance, and contemporary identity formation.</w:t>
      </w:r>
    </w:p>
    <w:p w:rsidR="00000000" w:rsidDel="00000000" w:rsidP="00000000" w:rsidRDefault="00000000" w:rsidRPr="00000000" w14:paraId="00000004">
      <w:pPr>
        <w:spacing w:after="120" w:before="240" w:line="360" w:lineRule="auto"/>
        <w:rPr/>
      </w:pPr>
      <w:r w:rsidDel="00000000" w:rsidR="00000000" w:rsidRPr="00000000">
        <w:rPr>
          <w:rtl w:val="0"/>
        </w:rPr>
        <w:t xml:space="preserve">A developing area of my work focuses on animated representations of nonhuman perspectives and ecological networks. My articles on </w:t>
      </w:r>
      <w:r w:rsidDel="00000000" w:rsidR="00000000" w:rsidRPr="00000000">
        <w:rPr>
          <w:i w:val="1"/>
          <w:iCs w:val="1"/>
          <w:rtl w:val="0"/>
        </w:rPr>
        <w:t xml:space="preserve">Mad God</w:t>
      </w:r>
      <w:r w:rsidDel="00000000" w:rsidR="00000000" w:rsidRPr="00000000">
        <w:rPr>
          <w:rtl w:val="0"/>
        </w:rPr>
        <w:t xml:space="preserve">, animated simulation, and chimerical imagery examine how animation visualizes ecological entanglements, animal–human hybrids, and multispecies narratives. I situate this work within environmental humanities frameworks, demonstrating how animation offers visual and conceptual strategies for thinking beyond anthropocentric worldviews. Over the next five years, I plan to expand my research program through three major projects:</w:t>
      </w:r>
    </w:p>
    <w:p w:rsidR="00000000" w:rsidDel="00000000" w:rsidP="00000000" w:rsidRDefault="00000000" w:rsidRPr="00000000" w14:paraId="00000005">
      <w:pPr>
        <w:spacing w:after="120" w:before="480" w:line="360" w:lineRule="auto"/>
        <w:rPr/>
      </w:pPr>
      <w:r w:rsidDel="00000000" w:rsidR="00000000" w:rsidRPr="00000000">
        <w:rPr>
          <w:i w:val="1"/>
          <w:iCs w:val="1"/>
          <w:rtl w:val="0"/>
        </w:rPr>
        <w:t xml:space="preserve">Animated Ecologies: Nonhuman Perspectives in Global Animation</w:t>
      </w:r>
      <w:r w:rsidDel="00000000" w:rsidR="00000000" w:rsidRPr="00000000">
        <w:rPr>
          <w:rtl w:val="0"/>
        </w:rPr>
        <w:t xml:space="preserve"> positions animation as one of the most conceptually rich media for imagining nonhuman life, ecological entanglements, and post-anthropocentric worldviews. It traces how animators Hayao Miyazaki, Tomm Moore, and Phil Tippeett use the medium to visualize multispecies perspectives, environmental crisis, and alternative ontologies. This work would explore animated perspectives as a tool for destabilizing human-centered narratives and ecocritical storytelling in global contexts. Arguing that animation is uniquely positioned to represent ecological thinking, this book offers visual strategies to narrate climate crisis, multispecies relations, and nonhuman agency that live-action film cannot. It brings animation studies into dialogue with environmental humanities, posthumanism, and media ecology.</w:t>
        <w:br w:type="textWrapping"/>
        <w:br w:type="textWrapping"/>
      </w:r>
      <w:r w:rsidDel="00000000" w:rsidR="00000000" w:rsidRPr="00000000">
        <w:rPr>
          <w:i w:val="1"/>
          <w:iCs w:val="1"/>
          <w:color w:val="000000"/>
          <w:rtl w:val="0"/>
        </w:rPr>
        <w:t xml:space="preserve">Animating Authenticity: Labor, Identity, and Performance in Global Animation</w:t>
      </w:r>
      <w:r w:rsidDel="00000000" w:rsidR="00000000" w:rsidRPr="00000000">
        <w:rPr>
          <w:rtl w:val="0"/>
        </w:rPr>
        <w:t xml:space="preserve"> extends my dissertation by mapping how authenticity is constructed, marketed, and contested across global animation cultures. Combining ethnography, textual analysis, and industrial research, the book will examine U.S., Korean, Irish, and Japanese animation industries to argue that authenticity functions as a key discourse through which studios differentiate creative identities and circulate national or local branding on a global scale. Examining how animators express themselves professionally both online and in the office, how gender articulates the labor of performing animated characters, and the increasing role of crowdfunding and digital patronage, this research bridges performance studies with feminist theory and media industry criticism.</w:t>
        <w:br w:type="textWrapping"/>
        <w:br w:type="textWrapping"/>
        <w:t xml:space="preserve">I hope to expand my theoretical inquiry into animated art pieces to be projected in a gallery. Such a digital humanities project would document the experiences of the creative class, exploring economic precarity and aesthetic autonomy in the southeastern United States. In the spirit of Actor-Network Theory, the project would feature exploded diagrams of studios, mapping the flow of bodies and information across national and international territories. Navigating human and nonhuman perspectives open the project to questions of othering both within and outside the industry, as automation clashes with romantic notions of craft. Such an archive will connect industry history with oral histories and production materials, constituting an animation art piece that directly criticizes the media of which it is constituted. </w:t>
      </w:r>
      <w:r w:rsidDel="00000000" w:rsidR="00000000" w:rsidRPr="00000000">
        <w:rPr>
          <w:highlight w:val="yellow"/>
          <w:rtl w:val="0"/>
        </w:rPr>
        <w:br w:type="textWrapping"/>
      </w:r>
      <w:r w:rsidDel="00000000" w:rsidR="00000000" w:rsidRPr="00000000">
        <w:rPr>
          <w:rtl w:val="0"/>
        </w:rPr>
        <w:br w:type="textWrapping"/>
        <w:t xml:space="preserve">Taken together, my research positions animation as a vital lens through which to examine questions of labor, identity, ecology, and transnational media circulation. By integrating industry analysis, ethnographic inquiry, aesthetic theory, and environmental humanities, my work demonstrates how animation both reflects and reimagines the conditions of contemporary life. The projects I outline, from animated ecologies to global performances of authenticity, reflect my commitment to expanding the boundaries of animation studies and to fostering multidisciplinary scholarship. Through these endeavors, I aim to contribute to a deeper understanding of animation’s global reach and conceptual power, while creating material to reach creators, scholars, and fans across the world. </w:t>
      </w:r>
    </w:p>
    <w:sectPr>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pStyle w:val="Heading2"/>
      <w:spacing w:after="80" w:lineRule="auto"/>
      <w:ind w:left="2880" w:firstLine="0"/>
      <w:rPr>
        <w:rFonts w:ascii="Comfortaa" w:cs="Comfortaa" w:eastAsia="Comfortaa" w:hAnsi="Comfortaa"/>
        <w:i w:val="1"/>
        <w:iCs w:val="1"/>
        <w:color w:val="124ca1"/>
        <w:sz w:val="36"/>
        <w:szCs w:val="36"/>
      </w:rPr>
    </w:pPr>
    <w:bookmarkStart w:colFirst="0" w:colLast="0" w:name="_heading=h.8jxeytzfjs4y" w:id="0"/>
    <w:bookmarkEnd w:id="0"/>
    <w:r w:rsidDel="00000000" w:rsidR="00000000" w:rsidRPr="00000000">
      <w:rPr>
        <w:rFonts w:ascii="Comfortaa" w:cs="Comfortaa" w:eastAsia="Comfortaa" w:hAnsi="Comfortaa"/>
        <w:b w:val="1"/>
        <w:bCs w:val="1"/>
        <w:color w:val="4dc1b7"/>
        <w:sz w:val="52"/>
        <w:szCs w:val="52"/>
        <w:rtl w:val="0"/>
      </w:rPr>
      <w:t xml:space="preserve">Colin S. Wheeler, Ph.D.</w:t>
      <w:br w:type="textWrapping"/>
    </w:r>
    <w:r w:rsidDel="00000000" w:rsidR="00000000" w:rsidRPr="00000000">
      <w:rPr>
        <w:rFonts w:ascii="Comfortaa" w:cs="Comfortaa" w:eastAsia="Comfortaa" w:hAnsi="Comfortaa"/>
        <w:b w:val="1"/>
        <w:bCs w:val="1"/>
        <w:color w:val="124ca1"/>
        <w:sz w:val="36"/>
        <w:szCs w:val="36"/>
        <w:rtl w:val="0"/>
      </w:rPr>
      <w:t xml:space="preserve">Film, Media, &amp; Theater</w:t>
      <w:br w:type="textWrapping"/>
    </w:r>
    <w:r w:rsidDel="00000000" w:rsidR="00000000" w:rsidRPr="00000000">
      <w:rPr>
        <w:rFonts w:ascii="Comfortaa" w:cs="Comfortaa" w:eastAsia="Comfortaa" w:hAnsi="Comfortaa"/>
        <w:i w:val="1"/>
        <w:iCs w:val="1"/>
        <w:color w:val="124ca1"/>
        <w:sz w:val="36"/>
        <w:szCs w:val="36"/>
        <w:rtl w:val="0"/>
      </w:rPr>
      <w:t xml:space="preserve">Research Statement</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-100076</wp:posOffset>
          </wp:positionV>
          <wp:extent cx="1143000" cy="13906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1390650"/>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9D36FB"/>
    <w:pPr>
      <w:tabs>
        <w:tab w:val="center" w:pos="4680"/>
        <w:tab w:val="right" w:pos="9360"/>
      </w:tabs>
      <w:spacing w:line="240" w:lineRule="auto"/>
    </w:pPr>
  </w:style>
  <w:style w:type="character" w:styleId="HeaderChar" w:customStyle="1">
    <w:name w:val="Header Char"/>
    <w:basedOn w:val="DefaultParagraphFont"/>
    <w:link w:val="Header"/>
    <w:uiPriority w:val="99"/>
    <w:rsid w:val="009D36FB"/>
  </w:style>
  <w:style w:type="paragraph" w:styleId="Footer">
    <w:name w:val="footer"/>
    <w:basedOn w:val="Normal"/>
    <w:link w:val="FooterChar"/>
    <w:uiPriority w:val="99"/>
    <w:unhideWhenUsed w:val="1"/>
    <w:rsid w:val="009D36FB"/>
    <w:pPr>
      <w:tabs>
        <w:tab w:val="center" w:pos="4680"/>
        <w:tab w:val="right" w:pos="9360"/>
      </w:tabs>
      <w:spacing w:line="240" w:lineRule="auto"/>
    </w:pPr>
  </w:style>
  <w:style w:type="character" w:styleId="FooterChar" w:customStyle="1">
    <w:name w:val="Footer Char"/>
    <w:basedOn w:val="DefaultParagraphFont"/>
    <w:link w:val="Footer"/>
    <w:uiPriority w:val="99"/>
    <w:rsid w:val="009D36F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HOj97fFJBWkKu4Tx+lucw7eKQ==">CgMxLjAyDmguOGp4ZXl0emZqczR5OAByITFMVWljaHFfejMzUXY2M2xpRzNheThkUnNEdmlJelVBNg==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2025-11-27T13:07:00Z</dcterms:created>
  <dc:creator>Owner</dc:creator>
</cp:coreProperties>
</file>